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A8F28" w14:textId="445FFABA" w:rsidR="003138DE" w:rsidRDefault="003138DE" w:rsidP="003138DE">
      <w:pPr>
        <w:jc w:val="center"/>
      </w:pPr>
      <w:bookmarkStart w:id="0" w:name="_GoBack"/>
      <w:bookmarkEnd w:id="0"/>
      <w:r>
        <w:t>MODULO PER LA TRASMISSIONE</w:t>
      </w:r>
    </w:p>
    <w:p w14:paraId="2995536E" w14:textId="76EEBD24" w:rsidR="003138DE" w:rsidRDefault="003138DE" w:rsidP="003138DE">
      <w:pPr>
        <w:jc w:val="center"/>
      </w:pPr>
      <w:r>
        <w:t>DELLE MANIFESTAZIONI DI INTERESSE DA PARTE DEGLI ATS</w:t>
      </w:r>
    </w:p>
    <w:p w14:paraId="3FDB0AC2" w14:textId="03270AF3" w:rsidR="003138DE" w:rsidRDefault="003138DE" w:rsidP="003138DE">
      <w:pPr>
        <w:jc w:val="center"/>
      </w:pPr>
      <w:r>
        <w:t>AI SENSI DEL D.D. 9 DICEMBRE 2021</w:t>
      </w:r>
    </w:p>
    <w:p w14:paraId="1E813E5A" w14:textId="5F41C707" w:rsidR="003138DE" w:rsidRDefault="003138DE" w:rsidP="003138DE">
      <w:pPr>
        <w:jc w:val="center"/>
      </w:pPr>
    </w:p>
    <w:tbl>
      <w:tblPr>
        <w:tblStyle w:val="Grigliatabella"/>
        <w:tblW w:w="6795" w:type="dxa"/>
        <w:jc w:val="center"/>
        <w:tblLayout w:type="fixed"/>
        <w:tblLook w:val="04A0" w:firstRow="1" w:lastRow="0" w:firstColumn="1" w:lastColumn="0" w:noHBand="0" w:noVBand="1"/>
      </w:tblPr>
      <w:tblGrid>
        <w:gridCol w:w="2513"/>
        <w:gridCol w:w="1877"/>
        <w:gridCol w:w="2405"/>
      </w:tblGrid>
      <w:tr w:rsidR="00210B19" w14:paraId="709A9F6F" w14:textId="77777777" w:rsidTr="00210B19">
        <w:trPr>
          <w:jc w:val="center"/>
        </w:trPr>
        <w:tc>
          <w:tcPr>
            <w:tcW w:w="2513" w:type="dxa"/>
          </w:tcPr>
          <w:p w14:paraId="56A222D2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b/>
                <w:bCs/>
              </w:rPr>
            </w:pPr>
            <w:r w:rsidRPr="00647AD1">
              <w:rPr>
                <w:rFonts w:ascii="Times New Roman" w:hAnsi="Times New Roman"/>
                <w:b/>
                <w:bCs/>
              </w:rPr>
              <w:t>Investimento</w:t>
            </w:r>
          </w:p>
        </w:tc>
        <w:tc>
          <w:tcPr>
            <w:tcW w:w="1877" w:type="dxa"/>
          </w:tcPr>
          <w:p w14:paraId="251EA83C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b/>
                <w:bCs/>
              </w:rPr>
            </w:pPr>
            <w:r w:rsidRPr="00647AD1">
              <w:rPr>
                <w:rFonts w:ascii="Times New Roman" w:hAnsi="Times New Roman"/>
                <w:b/>
                <w:bCs/>
              </w:rPr>
              <w:t>Sub-investimento</w:t>
            </w:r>
          </w:p>
        </w:tc>
        <w:tc>
          <w:tcPr>
            <w:tcW w:w="2405" w:type="dxa"/>
          </w:tcPr>
          <w:p w14:paraId="45F315B3" w14:textId="5BBCDEB1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b/>
                <w:bCs/>
              </w:rPr>
            </w:pPr>
            <w:r w:rsidRPr="00647AD1">
              <w:rPr>
                <w:rFonts w:ascii="Times New Roman" w:hAnsi="Times New Roman"/>
                <w:b/>
                <w:bCs/>
              </w:rPr>
              <w:t xml:space="preserve">ATS </w:t>
            </w:r>
            <w:r>
              <w:rPr>
                <w:rFonts w:ascii="Times New Roman" w:hAnsi="Times New Roman"/>
                <w:b/>
                <w:bCs/>
              </w:rPr>
              <w:t>aderenti</w:t>
            </w:r>
            <w:r w:rsidR="005507B3">
              <w:rPr>
                <w:rStyle w:val="Rimandonotaapidipagina"/>
              </w:rPr>
              <w:footnoteReference w:id="1"/>
            </w:r>
          </w:p>
        </w:tc>
      </w:tr>
      <w:tr w:rsidR="00210B19" w14:paraId="58EBA2BB" w14:textId="77777777" w:rsidTr="00210B19">
        <w:trPr>
          <w:trHeight w:val="97"/>
          <w:jc w:val="center"/>
        </w:trPr>
        <w:tc>
          <w:tcPr>
            <w:tcW w:w="2513" w:type="dxa"/>
            <w:vMerge w:val="restart"/>
          </w:tcPr>
          <w:p w14:paraId="76E35B2F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Sostegno alle persone vulnerabili e prevenzione dell'istituzionalizzazione degli anziani non autosufficienti –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647AD1">
              <w:rPr>
                <w:rFonts w:ascii="Times New Roman" w:hAnsi="Times New Roman"/>
                <w:sz w:val="20"/>
                <w:szCs w:val="20"/>
              </w:rPr>
              <w:t>Invest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>ment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 xml:space="preserve"> 1.1: 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Supporting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vulnerable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people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preventing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institutionalization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B2E0FA4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  <w:vMerge w:val="restart"/>
          </w:tcPr>
          <w:p w14:paraId="011AB9E8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47AD1">
              <w:rPr>
                <w:rFonts w:ascii="Times New Roman" w:hAnsi="Times New Roman"/>
                <w:sz w:val="20"/>
                <w:szCs w:val="20"/>
                <w:u w:val="single"/>
              </w:rPr>
              <w:t>Sub-investimento 1.1.1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</w:p>
          <w:p w14:paraId="795ABD03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Sostegno alle capacità genitoriali e prevenzione della vulnerabilità delle famiglie e dei bambini</w:t>
            </w:r>
          </w:p>
        </w:tc>
        <w:tc>
          <w:tcPr>
            <w:tcW w:w="2405" w:type="dxa"/>
          </w:tcPr>
          <w:p w14:paraId="37FF3915" w14:textId="1D7ED2D4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A3E291C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1A105118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7F03C16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4E20B69C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9B4F506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5DBBE000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0B8D4F1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47211A0C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EA89C5B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7E289E79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77548A1B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01431B48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3AB9236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4583203E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278D02A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7FD6B11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6759204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78150A70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A3E6F4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28411705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3A0AAAA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076F744E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9CD8770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3CD1A8E2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959B21E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25C02209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6E68AC9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656720DA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68CF821" w14:textId="77777777" w:rsidTr="00210B19">
        <w:trPr>
          <w:trHeight w:val="97"/>
          <w:jc w:val="center"/>
        </w:trPr>
        <w:tc>
          <w:tcPr>
            <w:tcW w:w="2513" w:type="dxa"/>
            <w:vMerge/>
          </w:tcPr>
          <w:p w14:paraId="61130DD3" w14:textId="77777777" w:rsidR="00210B19" w:rsidRPr="00647AD1" w:rsidRDefault="00210B19" w:rsidP="00312FA2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33064B31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137F7417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F1C6130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62CECEE7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  <w:vMerge w:val="restart"/>
          </w:tcPr>
          <w:p w14:paraId="32E44E22" w14:textId="77777777" w:rsidR="00210B19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  <w:u w:val="single"/>
              </w:rPr>
              <w:t>Sub-investimento 1.1.2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B963C80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Autonomia degli anziani non autosufficienti</w:t>
            </w:r>
          </w:p>
        </w:tc>
        <w:tc>
          <w:tcPr>
            <w:tcW w:w="2405" w:type="dxa"/>
          </w:tcPr>
          <w:p w14:paraId="70C5E18D" w14:textId="1972C4C2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EADC569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30EFD677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7C036A12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2A092263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BF70092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1B7B52D2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6524F790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563A2EC5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3457C60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3DDDB136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7CE44C17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5D4808A3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6AB261C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3BC1444B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0065CDC9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5C945802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477FFE85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7EE1F402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3D5AE9E3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63CB785D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63C6E1D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14540F82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77E3A3D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7312A44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EA1E162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47592706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423AFEE0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6C50AE37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736AB84" w14:textId="77777777" w:rsidTr="00210B19">
        <w:trPr>
          <w:trHeight w:val="63"/>
          <w:jc w:val="center"/>
        </w:trPr>
        <w:tc>
          <w:tcPr>
            <w:tcW w:w="2513" w:type="dxa"/>
            <w:vMerge/>
          </w:tcPr>
          <w:p w14:paraId="43502A7E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757AFEF5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0A93FF62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F19D3BE" w14:textId="77777777" w:rsidTr="00210B19">
        <w:trPr>
          <w:trHeight w:val="92"/>
          <w:jc w:val="center"/>
        </w:trPr>
        <w:tc>
          <w:tcPr>
            <w:tcW w:w="2513" w:type="dxa"/>
            <w:vMerge/>
          </w:tcPr>
          <w:p w14:paraId="4EC92F53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  <w:vMerge w:val="restart"/>
          </w:tcPr>
          <w:p w14:paraId="17296888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  <w:u w:val="single"/>
              </w:rPr>
              <w:t>Sub-investimento 1.1.3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>. Rafforzamento dei servizi sociali domiciliari per garantire la dimissione anticipata assistita e prevenire l’ospedalizzazione</w:t>
            </w:r>
          </w:p>
        </w:tc>
        <w:tc>
          <w:tcPr>
            <w:tcW w:w="2405" w:type="dxa"/>
          </w:tcPr>
          <w:p w14:paraId="3CD3C977" w14:textId="4025A4D9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7077668F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0DAC196C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1E57F2B1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2F063B75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411A3271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2FA66DC4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1ECDCEB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5881475B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4239614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250DFD4F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24BB7487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467214B1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B2D8168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544155FB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698C5A6B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4875ABB7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2BC377E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0BCA3792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67C285C6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2C92DD70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43F7412E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19A9C860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2178B80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2F39DF3B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5BBE783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7F8C522E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4539B20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5170D352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0A14DB4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04AD6CF4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0C397063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12992BBB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0864DDA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372EB66D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16194ABE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63551803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78CCD98D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4B657D0F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0F7B92A0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12B4C65D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85B00A4" w14:textId="77777777" w:rsidTr="00210B19">
        <w:trPr>
          <w:trHeight w:val="88"/>
          <w:jc w:val="center"/>
        </w:trPr>
        <w:tc>
          <w:tcPr>
            <w:tcW w:w="2513" w:type="dxa"/>
            <w:vMerge/>
          </w:tcPr>
          <w:p w14:paraId="65C2E51D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00DC8326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269FF4B7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1D07958" w14:textId="77777777" w:rsidTr="00210B19">
        <w:trPr>
          <w:trHeight w:val="83"/>
          <w:jc w:val="center"/>
        </w:trPr>
        <w:tc>
          <w:tcPr>
            <w:tcW w:w="2513" w:type="dxa"/>
            <w:vMerge/>
          </w:tcPr>
          <w:p w14:paraId="4CDD14D6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  <w:vMerge w:val="restart"/>
          </w:tcPr>
          <w:p w14:paraId="58753679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  <w:u w:val="single"/>
              </w:rPr>
              <w:t>Sub-investimento 1.1.4.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 xml:space="preserve"> Rafforzamento dei servizi sociali e prevenzione del fenomeno del burn out tra gli operatori sociali.</w:t>
            </w:r>
          </w:p>
        </w:tc>
        <w:tc>
          <w:tcPr>
            <w:tcW w:w="2405" w:type="dxa"/>
          </w:tcPr>
          <w:p w14:paraId="5870F7CD" w14:textId="63DFE9F0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00F3586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3B7D856B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597426B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57FF5529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76696AC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7285258D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78FE842F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572209EA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1DF73A7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55AF0F43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37E961D2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0F5A7F06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970E95C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14648F4F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70DA81AB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09AD7143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B4A8D36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4BB53275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015D89A6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7C76624B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A5F6929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261836E5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09FEC6C9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0E1CCD76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E542537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69523138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11371DB1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0A7ADBCE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B475EA2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1D246169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17B9B5FD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4A877144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2207AD2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3C063382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54F2E714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0597D6D7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EB7CCB7" w14:textId="77777777" w:rsidTr="00210B19">
        <w:trPr>
          <w:trHeight w:val="77"/>
          <w:jc w:val="center"/>
        </w:trPr>
        <w:tc>
          <w:tcPr>
            <w:tcW w:w="2513" w:type="dxa"/>
            <w:vMerge/>
          </w:tcPr>
          <w:p w14:paraId="531497FD" w14:textId="77777777" w:rsidR="00210B19" w:rsidRPr="00DD4ED6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cstheme="minorHAnsi"/>
              </w:rPr>
            </w:pPr>
          </w:p>
        </w:tc>
        <w:tc>
          <w:tcPr>
            <w:tcW w:w="1877" w:type="dxa"/>
            <w:vMerge/>
          </w:tcPr>
          <w:p w14:paraId="5817AC9C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405" w:type="dxa"/>
          </w:tcPr>
          <w:p w14:paraId="1F45C580" w14:textId="77777777" w:rsidR="00210B19" w:rsidRPr="00647AD1" w:rsidRDefault="00210B19" w:rsidP="00312FA2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8E5AFEF" w14:textId="77777777" w:rsidTr="00210B19">
        <w:trPr>
          <w:trHeight w:val="80"/>
          <w:jc w:val="center"/>
        </w:trPr>
        <w:tc>
          <w:tcPr>
            <w:tcW w:w="2513" w:type="dxa"/>
            <w:vMerge w:val="restart"/>
          </w:tcPr>
          <w:p w14:paraId="35CBD782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 xml:space="preserve">Percorsi di autonomia per persone con disabilità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 xml:space="preserve"> Invest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>ment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 xml:space="preserve">1.2: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Autonomy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patterns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people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 with </w:t>
            </w:r>
            <w:proofErr w:type="spellStart"/>
            <w:r w:rsidRPr="00647AD1">
              <w:rPr>
                <w:rFonts w:ascii="Times New Roman" w:hAnsi="Times New Roman"/>
                <w:sz w:val="20"/>
                <w:szCs w:val="20"/>
              </w:rPr>
              <w:t>disabilities</w:t>
            </w:r>
            <w:proofErr w:type="spellEnd"/>
            <w:r w:rsidRPr="00647A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81770B4" w14:textId="77777777" w:rsidR="00210B19" w:rsidRPr="00DD4ED6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77" w:type="dxa"/>
            <w:vMerge w:val="restart"/>
          </w:tcPr>
          <w:p w14:paraId="099003A0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Progetto individualizzato</w:t>
            </w:r>
          </w:p>
          <w:p w14:paraId="74E7C9EB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Abitazione</w:t>
            </w:r>
          </w:p>
          <w:p w14:paraId="664B93B6" w14:textId="7B3A306F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Lavoro</w:t>
            </w:r>
          </w:p>
        </w:tc>
        <w:tc>
          <w:tcPr>
            <w:tcW w:w="2405" w:type="dxa"/>
          </w:tcPr>
          <w:p w14:paraId="3ABCCB9B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892525" w14:textId="16259473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BCDBD8A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4F45D829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45827563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38DE1E4C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7DE46D6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5EED3CBC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4E3FDDD3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032DC637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E82CA76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0550711D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7A101230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5596C588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CE2882D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3A9DD880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48772DA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6B4DF28E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B888581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798F0847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7F3D7523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3C3CEE6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9DE904F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7F768671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0110A26D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633EF5C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DDBEAF9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4A5301E3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6D7C3D79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524F4D42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7AC6E5C8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48D208C8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3CA7AE95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07E16060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769AA1E2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3B6A3253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74197FFA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114F9442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45CF6498" w14:textId="77777777" w:rsidTr="00210B19">
        <w:trPr>
          <w:trHeight w:val="76"/>
          <w:jc w:val="center"/>
        </w:trPr>
        <w:tc>
          <w:tcPr>
            <w:tcW w:w="2513" w:type="dxa"/>
            <w:vMerge/>
          </w:tcPr>
          <w:p w14:paraId="25415097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5BD8380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626AACC0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FA40EB3" w14:textId="77777777" w:rsidTr="00210B19">
        <w:trPr>
          <w:trHeight w:val="40"/>
          <w:jc w:val="center"/>
        </w:trPr>
        <w:tc>
          <w:tcPr>
            <w:tcW w:w="2513" w:type="dxa"/>
            <w:vMerge w:val="restart"/>
          </w:tcPr>
          <w:p w14:paraId="7F3EF816" w14:textId="77777777" w:rsidR="00210B19" w:rsidRPr="00DD4ED6" w:rsidRDefault="00210B19" w:rsidP="003138DE">
            <w:pPr>
              <w:spacing w:before="40" w:after="40"/>
              <w:ind w:right="229"/>
              <w:jc w:val="both"/>
              <w:rPr>
                <w:rFonts w:asciiTheme="minorHAnsi" w:hAnsiTheme="minorHAnsi" w:cstheme="minorHAnsi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Housing temporaneo e Stazioni di posta per le persone senza fissa dimora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647AD1">
              <w:rPr>
                <w:rFonts w:ascii="Times New Roman" w:hAnsi="Times New Roman"/>
                <w:sz w:val="20"/>
                <w:szCs w:val="20"/>
              </w:rPr>
              <w:t xml:space="preserve">Investment 1.3: Housing First and Post Stations. </w:t>
            </w:r>
          </w:p>
        </w:tc>
        <w:tc>
          <w:tcPr>
            <w:tcW w:w="1877" w:type="dxa"/>
            <w:vMerge w:val="restart"/>
          </w:tcPr>
          <w:p w14:paraId="2DC050A4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Housing first</w:t>
            </w:r>
          </w:p>
        </w:tc>
        <w:tc>
          <w:tcPr>
            <w:tcW w:w="2405" w:type="dxa"/>
          </w:tcPr>
          <w:p w14:paraId="762B4F6F" w14:textId="057D790B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21C7D3F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0209CBA4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4CD6072D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49DE36D2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C0E5BEA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09FDB18E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64915BFE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3782FD16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7BC7D53B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6DE8F0EE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1C6FBAE5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0561B458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4B7771AC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3C4C436D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54C38456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6BB8CBFA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BAA196B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4050C334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755D750F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1D60B21E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7F87FC9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179DE2A8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1F0D1722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543D2D7F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7E05073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734B2D9D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2621D9F2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BB2E0C4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3302868E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137B107D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7334548A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399C16C3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84FEBF2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02F0B953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6802606B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3E39DCB7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A963472" w14:textId="77777777" w:rsidTr="00210B19">
        <w:trPr>
          <w:trHeight w:val="30"/>
          <w:jc w:val="center"/>
        </w:trPr>
        <w:tc>
          <w:tcPr>
            <w:tcW w:w="2513" w:type="dxa"/>
            <w:vMerge/>
          </w:tcPr>
          <w:p w14:paraId="5D1B9A93" w14:textId="77777777" w:rsidR="00210B19" w:rsidRPr="00647AD1" w:rsidRDefault="00210B19" w:rsidP="003138DE">
            <w:pPr>
              <w:spacing w:before="40" w:after="40"/>
              <w:ind w:right="22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7" w:type="dxa"/>
            <w:vMerge/>
          </w:tcPr>
          <w:p w14:paraId="0705D651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05FB9DE6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A2AE99D" w14:textId="77777777" w:rsidTr="00210B19">
        <w:trPr>
          <w:trHeight w:val="37"/>
          <w:jc w:val="center"/>
        </w:trPr>
        <w:tc>
          <w:tcPr>
            <w:tcW w:w="2513" w:type="dxa"/>
            <w:vMerge/>
          </w:tcPr>
          <w:p w14:paraId="03D4E6C3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 w:val="restart"/>
          </w:tcPr>
          <w:p w14:paraId="19A57287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7AD1">
              <w:rPr>
                <w:rFonts w:ascii="Times New Roman" w:hAnsi="Times New Roman"/>
                <w:sz w:val="20"/>
                <w:szCs w:val="20"/>
              </w:rPr>
              <w:t>Stazioni di posta</w:t>
            </w:r>
          </w:p>
        </w:tc>
        <w:tc>
          <w:tcPr>
            <w:tcW w:w="2405" w:type="dxa"/>
          </w:tcPr>
          <w:p w14:paraId="2EE35ED8" w14:textId="7278E67A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84AEE0E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6C02F463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48667991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1E529668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056B3BE7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5D9B62EE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2D2F281E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0522D0B5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501A510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7DE5CB08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73AAE1FF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DACE9A5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4892BEE0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4B261201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0E8D9D3D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69D5DDB6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B3F7982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40B17962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738A6E8E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20C02224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4AC2807A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3D2537DC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57DCBF46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4AA2BDCA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653DCAB6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22C7AE60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61795B7C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07B7903F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14D144FF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0E96876E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3FD63C3C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18D1A942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5449EB12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3B509473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1D5BC0E4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6403BEBF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B19" w14:paraId="2CAC2ACC" w14:textId="77777777" w:rsidTr="00210B19">
        <w:trPr>
          <w:trHeight w:val="29"/>
          <w:jc w:val="center"/>
        </w:trPr>
        <w:tc>
          <w:tcPr>
            <w:tcW w:w="2513" w:type="dxa"/>
            <w:vMerge/>
          </w:tcPr>
          <w:p w14:paraId="32CBF4E5" w14:textId="77777777" w:rsidR="00210B19" w:rsidRPr="00DD4ED6" w:rsidRDefault="00210B19" w:rsidP="003138DE">
            <w:pPr>
              <w:spacing w:before="40" w:after="40"/>
              <w:ind w:right="229"/>
              <w:jc w:val="both"/>
            </w:pPr>
          </w:p>
        </w:tc>
        <w:tc>
          <w:tcPr>
            <w:tcW w:w="1877" w:type="dxa"/>
            <w:vMerge/>
          </w:tcPr>
          <w:p w14:paraId="557EC97C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5" w:type="dxa"/>
          </w:tcPr>
          <w:p w14:paraId="7C048125" w14:textId="77777777" w:rsidR="00210B19" w:rsidRPr="00647AD1" w:rsidRDefault="00210B19" w:rsidP="003138DE">
            <w:pPr>
              <w:suppressAutoHyphens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97D4A8E" w14:textId="1EA5F26C" w:rsidR="003138DE" w:rsidRPr="00210B19" w:rsidRDefault="003138DE" w:rsidP="005507B3">
      <w:pPr>
        <w:pStyle w:val="Paragrafoelenco"/>
        <w:ind w:left="1080"/>
        <w:jc w:val="both"/>
        <w:rPr>
          <w:sz w:val="18"/>
          <w:szCs w:val="18"/>
        </w:rPr>
      </w:pPr>
    </w:p>
    <w:sectPr w:rsidR="003138DE" w:rsidRPr="00210B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DE278" w14:textId="77777777" w:rsidR="005C432F" w:rsidRDefault="005C432F" w:rsidP="005507B3">
      <w:pPr>
        <w:spacing w:after="0" w:line="240" w:lineRule="auto"/>
      </w:pPr>
      <w:r>
        <w:separator/>
      </w:r>
    </w:p>
  </w:endnote>
  <w:endnote w:type="continuationSeparator" w:id="0">
    <w:p w14:paraId="465C6D47" w14:textId="77777777" w:rsidR="005C432F" w:rsidRDefault="005C432F" w:rsidP="0055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D659B" w14:textId="77777777" w:rsidR="005C432F" w:rsidRDefault="005C432F" w:rsidP="005507B3">
      <w:pPr>
        <w:spacing w:after="0" w:line="240" w:lineRule="auto"/>
      </w:pPr>
      <w:r>
        <w:separator/>
      </w:r>
    </w:p>
  </w:footnote>
  <w:footnote w:type="continuationSeparator" w:id="0">
    <w:p w14:paraId="129CAAB9" w14:textId="77777777" w:rsidR="005C432F" w:rsidRDefault="005C432F" w:rsidP="005507B3">
      <w:pPr>
        <w:spacing w:after="0" w:line="240" w:lineRule="auto"/>
      </w:pPr>
      <w:r>
        <w:continuationSeparator/>
      </w:r>
    </w:p>
  </w:footnote>
  <w:footnote w:id="1">
    <w:p w14:paraId="55E6B48C" w14:textId="70B9B01B" w:rsidR="005507B3" w:rsidRPr="00053BDC" w:rsidRDefault="005507B3" w:rsidP="005507B3">
      <w:pPr>
        <w:pStyle w:val="Pidipagina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Va riportato </w:t>
      </w:r>
      <w:r>
        <w:rPr>
          <w:rFonts w:ascii="Times New Roman" w:hAnsi="Times New Roman" w:cs="Times New Roman"/>
          <w:sz w:val="20"/>
          <w:szCs w:val="20"/>
        </w:rPr>
        <w:t xml:space="preserve">il nome esatto e il codice dell’Ambito territoriale Sociale </w:t>
      </w:r>
      <w:r w:rsidRPr="00184712">
        <w:rPr>
          <w:rFonts w:ascii="Times New Roman" w:hAnsi="Times New Roman" w:cs="Times New Roman"/>
          <w:sz w:val="20"/>
          <w:szCs w:val="20"/>
        </w:rPr>
        <w:t xml:space="preserve">nonché </w:t>
      </w:r>
      <w:r>
        <w:rPr>
          <w:rFonts w:ascii="Times New Roman" w:hAnsi="Times New Roman" w:cs="Times New Roman"/>
          <w:sz w:val="20"/>
          <w:szCs w:val="20"/>
        </w:rPr>
        <w:t xml:space="preserve">l’informazione del </w:t>
      </w:r>
      <w:r w:rsidRPr="00184712">
        <w:rPr>
          <w:rFonts w:ascii="Times New Roman" w:hAnsi="Times New Roman" w:cs="Times New Roman"/>
          <w:sz w:val="20"/>
          <w:szCs w:val="20"/>
        </w:rPr>
        <w:t xml:space="preserve">se partecipano in forma associata con altri ambiti (nel caso va indicato l'ambito che fungerà da capofila e beneficiario del finanziamento PNRR), ed eventualmente </w:t>
      </w:r>
      <w:r>
        <w:rPr>
          <w:rFonts w:ascii="Times New Roman" w:hAnsi="Times New Roman" w:cs="Times New Roman"/>
          <w:sz w:val="20"/>
          <w:szCs w:val="20"/>
        </w:rPr>
        <w:t xml:space="preserve">vanno inseriti </w:t>
      </w:r>
      <w:r w:rsidRPr="00184712">
        <w:rPr>
          <w:rFonts w:ascii="Times New Roman" w:hAnsi="Times New Roman" w:cs="Times New Roman"/>
          <w:sz w:val="20"/>
          <w:szCs w:val="20"/>
        </w:rPr>
        <w:t xml:space="preserve">eventuali 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184712">
        <w:rPr>
          <w:rFonts w:ascii="Times New Roman" w:hAnsi="Times New Roman" w:cs="Times New Roman"/>
          <w:sz w:val="20"/>
          <w:szCs w:val="20"/>
        </w:rPr>
        <w:t xml:space="preserve">mbiti eccedenti rispetto al numero di progetti indicativamente previsti dalla tabella allegata alla nota </w:t>
      </w:r>
      <w:r>
        <w:rPr>
          <w:rFonts w:ascii="Times New Roman" w:hAnsi="Times New Roman" w:cs="Times New Roman"/>
          <w:sz w:val="20"/>
          <w:szCs w:val="20"/>
        </w:rPr>
        <w:t xml:space="preserve">del DG per la lotta alla povertà e per la programmazione sociale del 17 dicembre scorso </w:t>
      </w:r>
      <w:r w:rsidRPr="00184712">
        <w:rPr>
          <w:rFonts w:ascii="Times New Roman" w:hAnsi="Times New Roman" w:cs="Times New Roman"/>
          <w:sz w:val="20"/>
          <w:szCs w:val="20"/>
        </w:rPr>
        <w:t>e che potrebbero concorrere ad un'eventuale ridistribuzione, così come previsto dal Piano operativo</w:t>
      </w:r>
      <w:r>
        <w:rPr>
          <w:rFonts w:ascii="Times New Roman" w:hAnsi="Times New Roman" w:cs="Times New Roman"/>
          <w:sz w:val="20"/>
          <w:szCs w:val="20"/>
        </w:rPr>
        <w:t xml:space="preserve"> di cui al DDG 540 del 9.12.21</w:t>
      </w:r>
      <w:r w:rsidRPr="00184712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507B3">
        <w:rPr>
          <w:rFonts w:ascii="Times New Roman" w:hAnsi="Times New Roman" w:cs="Times New Roman"/>
          <w:sz w:val="20"/>
          <w:szCs w:val="20"/>
        </w:rPr>
        <w:t xml:space="preserve">Inoltre, 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5507B3">
        <w:rPr>
          <w:rFonts w:ascii="Times New Roman" w:hAnsi="Times New Roman" w:cs="Times New Roman"/>
          <w:sz w:val="20"/>
          <w:szCs w:val="20"/>
        </w:rPr>
        <w:t xml:space="preserve">on riferimento al caso di adesione di più ATS allo stessa progettualità o di un comune in alternativa all’ambito di appartenenza, si fa riferimento al </w:t>
      </w:r>
      <w:r>
        <w:rPr>
          <w:rFonts w:ascii="Times New Roman" w:hAnsi="Times New Roman" w:cs="Times New Roman"/>
          <w:sz w:val="20"/>
          <w:szCs w:val="20"/>
        </w:rPr>
        <w:t xml:space="preserve">medesimo </w:t>
      </w:r>
      <w:r w:rsidRPr="005507B3">
        <w:rPr>
          <w:rFonts w:ascii="Times New Roman" w:hAnsi="Times New Roman" w:cs="Times New Roman"/>
          <w:sz w:val="20"/>
          <w:szCs w:val="20"/>
        </w:rPr>
        <w:t xml:space="preserve">Piano Operativo </w:t>
      </w:r>
      <w:r>
        <w:rPr>
          <w:rFonts w:ascii="Times New Roman" w:hAnsi="Times New Roman" w:cs="Times New Roman"/>
          <w:sz w:val="20"/>
          <w:szCs w:val="20"/>
        </w:rPr>
        <w:t xml:space="preserve">citato. </w:t>
      </w:r>
    </w:p>
    <w:p w14:paraId="6A0309D2" w14:textId="77777777" w:rsidR="005507B3" w:rsidRPr="005507B3" w:rsidRDefault="005507B3" w:rsidP="005507B3">
      <w:pPr>
        <w:pStyle w:val="Testonotaapidipagina"/>
        <w:rPr>
          <w:rFonts w:ascii="Times New Roman" w:eastAsia="Titillium-Light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B6295"/>
    <w:multiLevelType w:val="hybridMultilevel"/>
    <w:tmpl w:val="3658529A"/>
    <w:lvl w:ilvl="0" w:tplc="46C45FC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5C7984"/>
    <w:multiLevelType w:val="hybridMultilevel"/>
    <w:tmpl w:val="3132BB70"/>
    <w:lvl w:ilvl="0" w:tplc="5E74E2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DE"/>
    <w:rsid w:val="00210B19"/>
    <w:rsid w:val="003138DE"/>
    <w:rsid w:val="004449F8"/>
    <w:rsid w:val="005507B3"/>
    <w:rsid w:val="005C432F"/>
    <w:rsid w:val="00843090"/>
    <w:rsid w:val="008E67E4"/>
    <w:rsid w:val="00945B12"/>
    <w:rsid w:val="009625B7"/>
    <w:rsid w:val="00A1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7E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138D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0B1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507B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507B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507B3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5507B3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7B3"/>
    <w:rPr>
      <w:rFonts w:ascii="Titillium-Light" w:eastAsia="Titillium-Light" w:hAnsi="Titillium-Light" w:cs="Titillium-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3138D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0B1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507B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507B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507B3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5507B3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tillium-Light" w:eastAsia="Titillium-Light" w:hAnsi="Titillium-Light" w:cs="Titillium-Ligh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07B3"/>
    <w:rPr>
      <w:rFonts w:ascii="Titillium-Light" w:eastAsia="Titillium-Light" w:hAnsi="Titillium-Light" w:cs="Titillium-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358D7-3B7C-4B0B-8CBD-E29825A8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della Sardegna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Ciampa Adriana</dc:creator>
  <cp:lastModifiedBy>Marcella Figus</cp:lastModifiedBy>
  <cp:revision>2</cp:revision>
  <dcterms:created xsi:type="dcterms:W3CDTF">2022-01-31T13:14:00Z</dcterms:created>
  <dcterms:modified xsi:type="dcterms:W3CDTF">2022-01-31T13:14:00Z</dcterms:modified>
</cp:coreProperties>
</file>